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23.07.2020, оставленным без изменения постановлением Девятого арбитражного апелляционного суда от 26.01.2021 и постановлением Арбитражного суда Московского округа от 07.05.2021, в удовлетворении иска отказано. В кассационной жалобе институт просит об отмене судебных актов, ссылаясь на несоответствие нормам права об оказании услуг, положенные в основу подложные данные и не существующую причинно-следственную связь.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требуемые расходы образовались у института вследствие отказа от исполнения договора от 27.11.2018 № 27/11, не имеющего связи с действиями ответчика. Установив исполнение ответчиком договора, суды в соответствии со статьями 15, 393, 779, 781 Гражданского кодекса Российской Федерации признали отсутствие оснований для удовлетворения иска. Иная оценка заявителем правовых последствий действий сторон по исполнению обязательств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образовательной автономной некоммерческой организации Высшего образования «Институт экономики бизнеса»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