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14.12.2020, оставленным без изменения постановлением Седьмого арбитражного апелляционного суда от 25.02.2021 и постановлением Арбитражного суда Западно-Сибирского округа от 19.05.2021, утверждено Положение о порядке, сроках и условиях реализации имущества должника, являющегося предметом залога, в редакции залогового кредитора; утверждена начальная продажная цена предмета залога в размере 14 910 000 рублей. В кассационной жалобе Токарев С.В. просит об отмене судебных актов вследствие занижения цены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Проверяя доводы должника, суды установили, что начальная продажная цена залогового имущества, порядок и условия реализации определены в соответствии со статьей 213.26 Федерального закона «О несостоятельности (банкротстве)». Возражение заявителя в отношении цены имущества мотивированно отклонено.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Токареву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