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05.11.2020, оставленным без изменения постановлением Девятого арбитражного апелляционного суда от 10.02.2021 и постановлением Арбитражного суда Московского округа от 25.06.2021, в иске отказано. В кассационной жалобе Амбросюк А.В. просит об отмене судебных актов как не соответствующих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оказание ответчиком согласованной договором от 10.03.2020 услуги, в связи с чем признали противоречащими статьям 779, 781, 1102 Гражданского кодекса Российской Федерации требование о возврате уплаченной в счет исполнения суммы.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Амбросюку Аркадию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