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27.01.2021 требование банка в сумме 11 764 299 рублей 54 копеек признано обоснованным и включено в третью очередь реестра требований кредиторов как обеспеченное залогом автотранспортных средств. Одиннадцатый арбитражный апелляционный суд постановлением от 05.04.2021 определение от 27.01.2021 отменил, в удовлетворении заявления банка отказал. Арбитражный суд Поволжского округа постановлением от 16.06.2021 отменил постановление Одиннадцатого арбитражного апелляционного суда от 05.04.2021 и оставил в силе определение от 27.01.2021. В кассационной жалобе Хрулев И.А. просит об отмене постановления окружного суда, ссылаясь на прекращение залога и нарушение окружным судом пределов рассмотрения дела.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 первой инстанции правильно применил к правоотношениям между банком и должником нормы права о залоге (статьи 335, 352 Гражданского кодекса Российской Федерации) и их судебное толкование применительно к аффилированным лицам и неосновательную отмену решения апелляционным судом, поэтому отменил постановление апелляционной инстанции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Хрулеву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