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06.08.2020, оставленным без изменения постановлением Двенадцатого арбитражного апелляционного суда от 15.03.2021, иск удовлетворен. Арбитражный суд Поволжского округа постановлением от 07.06.2021 решение от 06.08.2020 и постановление Двенадцатого арбитражного апелляционного суда от 15.03.2021 оставил без изменения. В кассационной жалобе предприниматель просит об отмене судебных актов вследствие предъявления иска ненадлежащим истцом к ненадлежащему ответчику, рассмотрения дела без участия заинтересованных лиц.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наличие между обществом «СибТоргСервис» и предпринимателем договора перевозки, при выполнении которой утрачен груз, удостоверено заявкой на перевозку груза от 14.01.2020 № 9 и транспортной накладной от 14.01.2020 № ПРСК000059,поэтому довод о ненадлежащих сторонах спора и неучастии в нем других лиц неоснователен.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Водянову Ю.И.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