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«Главное военностроительное управление № 14» обратилось в Арбитражный суд города Москвы с иском о взыскании с общества с ограниченной ответственностью «Симпл декор» 1 880 700 рублей задолженности, 47 201 рубля 60 копеек неустойки по договору хранения от 17.12.2019 № 898/УИК/2019/Хр и 20 798 рублей 19 копеек процентов за пользование чужими денежными средствами, с последующим их начислением по день фактической оплаты. Решением Арбитражного суда города Москвы от 13.11.2020 иск удовлетворен. Постановлением Девятого арбитражного апелляционного суда от 17.03.2021 решение суда первой инстанции оставлено без изменения. Арбитражный суд Московского округа постановлением от 07.06.2021 указанные судебные акты оставлены без изменения. Общество с ограниченной ответственностью «Симпл декор»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330, 395, 889, 896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признав доказанным факт оказания истцом ответчику услуг по хранению за спорный период и отсутствие доказательств их оплаты, суды пришли к выводу об обоснованности заявленных требований.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переходе из предварительного судебного заседания в основное,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«Симпл декор»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