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«Культурная Служба»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индивидуального предпринимателя Лазаревской Евгении Олеговны 7 000 000 рублей неосновательного обогащения. Решением Арбитражного суда города Москвы от 14.12.2020 иск удовлетворен. Постановлением Девятого арбитражного апелляционного суда от 31.03.2021 решение суда первой инстанции оставлено без изменения. Арбитражный суд Московского округа постановлением от 22.06.2021 указанные судебные акты оставил без изменения. Индивидуальный предприниматель Лазаревская Евгения Олеговна обратилась в Судебную коллегию Верховного Суда Российской Федерации с 2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64, 65, 71 Арбитражного процессуального кодекса Российской Федерации, установив, что спорные денежные средства перечислены истцом ответчику по платежным поручениям с конкретным назначением платежа, факт получения спорных денежных средств в отсутствие заключенного между сторонами дополнительного соглашения ответчиком не оспаривается, доказательств исполнения ответчиком встречного обязательства не представлено, руководствуясь положениями статей 309, 310, 1102 Гражданского кодекса Российской Федерации, суды пришли к выводу об обоснованности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Лазаревской Евгении Олеговне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