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13.11.2020, оставленным без изменения постановлением Пятого арбитражного апелляционного суда от 12.02.2021 и постановлением Арбитражного суда Дальневосточного округа от 21.05.2021, иск удовлетворен.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обществом (заказчик) в пользу предпринимателя (подрядчик) 2 700 000 руб. авансового платежа в рамках договора подряда от 29.06.2018, одностороннего отказа общества от исполнения названного договора, выполнения предпринимателем работ стоимостью 1 889 220 руб., руководствуясь статьями 450.1, 453, 702, 708, 715, 717, 1102 Гражданского кодекса Российской Федерации, суды первой и апелляционной инстанций пришли к выводу о наличии оснований для взыскания с предпринимателя неосновательного обогащения в заявленном размере,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Руководствуясь статьей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И Олега Гансуновича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