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20.11.2020, оставленным без изменения постановлением Девятого арбитражного апелляционного суда от 01.03.2021 и постановлением Арбитражного суда Московского округа от 16.06.2021,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(подрядчик) мотивированы ненадлежащим исполнением компанией (заказчик) обязательств по договору строительного подряда от 20.05.2014 № 2162814/0450Д/100014/05483Д (с учетом соглашения от 02.06.2016 о перемене лиц в обязательстве).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период выполнения обществом спорных работ, дату направления актов приемки выполненных работ в адрес компании, установленный договором срок оплаты работ, а также дату обращения с настоящим иском, руководствуясь статьями 196, 199, 200 Гражданского кодекса Российской Федерации, суды первой и апелляционной инстанций пришли к выводу о пропуске истцом срока исковой давности, в связи с чем отказали в удовлетворении исковых требований.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«Анод-Плюс»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