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08.09.2020, оставленным без изменения постановлением Пятнадцатого арбитражного апелляционного суда от 29.12.2020 и постановлением Арбитражного суда Северо-Кавказского округа от 19.05.2021, в удовлетворении исковых требований отказано. В кассационной жалобе, поданной в Верховный Суд Российской Федерации, санаторий, ссылаясь на незаконность указанных судебных актов, просит их отменить и направить дело на новое рассмотрение в Арбитражный суд Краснодарского края.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признав недоказанным оказание обществом услуг в спорный период в неполном объеме и отсутствие у оказанного объема услуг потребительской ценности для санатория, руководствуясь статьями 307, 309, 310, 779, 781, 782 Гражданского кодекса Российской Федерации, суды первой и апелляционной инстанций не усмотрели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«Санаторий «Родина»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