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03.12.2020, оставленным без изменения постановлением Пятнадцатого арбитражного апелляционного суда от 10.02.2021 и постановлением Арбитражного суда Северо-Кавказского округа от 18.05.2021,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мотивированы наличием у ответчика 1 882 530 руб. задолженности по оплате работ, выполненных истцом в рамках договора подряда от 22.05.2018 № 22/05-СМР.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работы по договору выполнены истцом с недостатками, которые в назначенный ответчиком срок не устранены, в связи с чем последний отказался от договора, привлек для устранения недостатков третье лицо и понес соответствующие затраты в размере 1 882 530 руб., руководствуясь статьями 450, 702, 715, 717, 721, 746 Гражданского кодекса Российской Федерации, суды первой и апелляционной инстанций пришли к выводу о наличии оснований для отказа в удовлетворении исковых требований. Суд округа поддержал выводы судов первой и апелляционной инстанций.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«Светосервис-Сочи»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