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22.09.2020, оставленным без изменения постановлением Девятого арбитражного апелляционного суда от 08.02.2021 и постановлением Арбитражного суда Московского округа от 21.05.2021, в удовлетворении исковых требований отказано. В кассационной жалобе, поданной в Верховный Суд Российской Федерации, предприниматель, ссылаясь на нарушение судами норм права, просит отменить указанные судебные акты и направить дело на новое рассмотрение.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в здании, являющемся выявленным объектом культурного наследия, расположенном по адресу: Москва, Петровский бул., д. 1, стр. 1, предпринимателю на праве собственности принадлежат нежилые помещения общей площадью 1262,3 кв. м, что составляет 77,14 % от общей площади здания. Остальная часть здания (общая площадь 374 кв. м, доля в здании - 22,86 %) находится у учреждения на праве хозяйственного ведения. Предприниматель, ссылаясь на неучастие учреждения в проведении ремонтно-восстановительных работ, невыполнение им обязательств по содержанию и сохранению здания и возникновение на его стороне неосновательного обогащения в виде затрат на проведение таких работ пропорционально принадлежащей ему площади помещений, обратился в арбитражный суд с настоящим иском.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инстанций пришли к выводу о том, что ремонтные работы произведены по инициативе истца для его собственных нужд, в отсутствие каких-либо предписаний со стороны государственных органов и без согласования с ответчиком. При таких обстоятельствах, отметив, что по договору купли-продажи от 15.05.2019 предприниматель приобрел у учреждения принадлежащую ему часть нежилых помещений, при заключении этого договора у сторон не имелось разногласий о цене или состоянии объекта, иск предъявлен в суд после совершения указанной сделки, руководствуясь статьями 10, 210, 309, 310, 1102, 1103 Гражданского кодекса Российской Федерации, статьей 158 Жилищного кодекса Российской Федерации, суды пришли к выводу об отсутствии оснований для удовлетворения исковых требований. Суд округа согласился с выводами судов первой и апелляционной инстанций.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3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Герасимчук Ольги Геннадьевны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