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23.11.2020, оставленным без изменения постановлением Одиннадцатого арбитражного апелляционного суда от 16.03.2021 и постановлением Арбитражного суда Поволжского округа от 28.06.2021,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аренды, установив, что общество (арендатор) ненадлежащим образом исполнило обязанность по оплате пользования арендованным имуществом, в результате произведенных им ремонтных и реконструкционных работ спорное имущество приведено в непригодное для дальнейшей эксплуатации состояние, чем предпринимателю причинены убытки в виде стоимости восстановительного ремонта, размер которых определен заключением судебной экспертизы, руководствуясь статьями 15, 309, 310, 330, 393, 421, 606, 614, 616, 622 Гражданского кодекса Российской Федерации, разъяснениями, приведенными в информационном письме Высшего Арбитражного Суда Российской Федерации от 11.01.2002 № 66 «Обзор практики разрешения споров, связанных с арендой», постановлении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постановлении Пленума Верховного Суда Российской Федерации от 23.06.2015 № 25 «О применении судами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«Тандер»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