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12.03.2020 с компании в пользу общества взыскано 22 844 296 руб. 14 коп. задолженности, в удовлетворении остальной части иска отказано. Постановлением Одиннадцатого арбитражного апелляционного суда от 07.08.2020 решение суда первой инстанции отменено, с компании в пользу общества взыскано 22 844 296 руб. 14 коп. задолженности, требования в остальной части оставлены без удовлетворения. Постановлением Арбитражного суда Поволжского округа от 11.11.2020 постановление суда апелляционной инстанции отменено, дело направлено на новое рассмотрение в Одиннадцатый арбитражный апелляционный суд. 2 Принятым при новом рассмотрении дела постановлением Одиннадцатого арбитражного апелляционного суда от 09.02.2021 решение суда первой инстанции отменено, в удовлетворении иска отказано. Постановлением Арбитражного суда Поволжского округа от 24.06.2021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и процессуального права, просит отменить их постановления.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общества (субподрядчик) мотивированы ненадлежащим исполнением компанией (подрядчик) обязательств по оплате выполненных работ по договору субподряда от 01.07.2017 № 230 (далее – договор).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 апелляционной инстанции установил, что условиями договора в редакции дополнительного соглашения от 14.02.2018 № 1 определена твердая цена работ, доказательств ее изменения сторонами не представлено, как и доказательств понуждения общества к заключению названного дополнительного соглашения на невыгодных для него условиях, а также признания этого соглашения недействительным в предусмотренном законом порядке. При таких обстоятельствах, принимая во внимание факт оплаты компанией выполненных обществом работ по договору в пределах твердой цены, руководствуясь статьями 309, 310, 424, 434, 450, 452, 453, 709, 740, 744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 пришел к выводу об отсутствии оснований для удовлетворения иска. Суд округа поддержал выводы апелляционного суда. Доводы кассационной жалобы не опровергают выводы судов апелляционной инстанции и округа, не подтверждают существенных нарушений судами норм материального и процессуального права, повлиявших 3 на исход дела, и не являются достаточным основанием для пересмотра обжалуемых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«Техстроймонтаж»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