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08.10.2020, оставленным без изменения постановлением Девятого арбитражного апелляционного суда от 16.02.2021 и постановлением Арбитражного суда Московского округа от 26.05.2021, исковые требования удовлетворены.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проверив расчет сальдо встречных обязательств по договору лизинга, установив, что финансовый результат сделки составляет убыток для истца (лизингодатель) в заявленном размере, руководствуясь статьями 330, 421, 431, 450, 453 Гражданского кодекса Российской Федерации, положениями Федерального закона от 29.10.1998 № 164-ФЗ «О финансовой аренде (лизинге)», разъяснениями, изложенными в постановлении Пленума Высшего Арбитражного Суда Российской Федерации от 14.03.2014 № 17 «Об отдельных вопросах, связанных с договором выкупного лизинга», суды первой и апелляционной инстанций пришли к выводу о наличии оснований для удовлетворения исковых требований, с чем впоследствии согласился суд округа. Доводы кассационной жалобы направлены на переоценку представленных в материалы дела доказательств и установленных судами фактических обстоятельств дела,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«ДОМ-Сервис»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