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Ярославской области от 19.01.2021, оставленным без изменения постановлением Второго арбитражного апелляционного суда от 19.03.2021 и постановлением Арбитражного суда Волго-Вятского округа от 01.06.2021, заявление банка о включении в реестр требований банка в сумме 48 942 886 рублей 63 копеек удовлетворено. В кассационной жалобе банк просит о пересмотре судебных актов, ссылаясь на неправильное применение в отношении солидарных должников очередности погашения требований по денежному обязательству.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требования банка основаны на решении суда общей юрисдикции о солидарном в том числе с Зайцева В.А. взыскании долга, процентов, неустойки и госпошлины. В такой ситуации на уплаченную во исполнение решения одним из солидарных должников сумму к моменту подачи банком рассматриваемого заявления о включении требований в реестр денежные обязательства должника правомерно уменьшены в очередности, предусмотренной статьей 319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