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Республики Саха (Якутия) от 18.12.2020, оставленным без изменения постановлением Четвертого арбитражного апелляционного суда от 22.03.2021 и постановлением Арбитражного суда Восточно-Сибирского округа от 17.06.2021, исковые требования удовлетворены. В кассационной жалобе, поданной в Верховный Суд Российской Федерации, общество, ссылаясь на нарушение судами норм материального и процессуального права, просит отменить указанные судебные акты и направить дело на новое рассмотрение в суд первой инстанции в ином составе судей.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2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Таких оснований по результатам изучения состоявшихся по делу судебных актов и доводов кассационной жалобы не установлено. Как следует из судебных актов, требования корпорации (поставщик) мотивированы неисполнением обществом (покупатель) обязательств по оплате товара, поставленного в рамках договора поставки от 15.07.2016. Исследовав и оценив по правилам статьи 71 Арбитражного процессуального кодекса Российской Федерации представленные в материалы дела доказательства, суды первой и апелляционной инстанций установили, что факт передачи обществу товара на спорную сумму подтвержден товарными накладными, подписанными в двустороннем порядке без замечаний по количеству и качеству товара; доказательств подписания товарных накладных неуполномоченным лицом обществом не представлено, об их фальсификации не заявлено. При таких обстоятельствах, учитывая отсутствие доказательств оплаты товара, руководствуясь статьями 309, 310, 329, 330, 454, 486, 506, 509, 516 Гражданского кодекса Российской Федерации, суды удовлетворили исковые требования. Суд округа поддержал выводы судов первой и апелляционной инстанций. Изложенные в кассационной жалобе доводы были предметом рассмотрения судов и получили правовую оценку, не опровергают выводы судов, не подтверждают существенных нарушений судами норм материального и процессуального права, повлиявших на исход дела, и в силу статьи 291.6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 Поскольку в передаче кассационной жалобы для рассмотрения в судебном заседании Судебной коллегии Верховного Суда Российской Федерации отказано, ходатайство о приостановлении исполнения обжалуемых судебных актов рассмотрению не подлежит. Принимая во внимание изложенное 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«Камелек»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3</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