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09.10.2020, оставленным без изменения постановлением Девятого арбитражного апелляционного суда от 14.01.2021 и постановлением Арбитражного суда Московского округа от 12.05.2021,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несоответствие выводов судов имеющимся в деле доказательствам,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исковые требования общества (исполнитель) мотивированы ненадлежащим исполнением компанией (заказчик) обязательств по оплате услуг, оказанных в рамках договора от 17.10.2019 № 208/10-ДСО(НАТ) на комплексное обслуживание транспортных средств.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об отсутствии у компании обязанности по оплате спорных услуг, поскольку они являются дополнительными и не были согласованы с ответчиком, кроме того представленные обществом акты об оказании услуг не подтверждают факт оказания услуг, так как подписаны в одностороннем порядке, доказательств их направления компании не имеется. При таких обстоятельствах, руководствуясь статьями 309, 310, 330, 779, 781 Гражданского кодекса Российской Федерации, суды отказали в удовлетворении исковых требований.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«Нара Авто 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