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Кировской области от 20.05.2020 в удовлетворении исковых требований отказано. Постановлением Второго арбитражного апелляционного суда от 20.11.2020 решение суда первой инстанции изменено, с кооператива в пользу предпринимателя взыскано 1 279 276 руб. 17 коп. задолженности и 191 102 руб. 83 коп. процентов за пользование чужими денежными средствами. Постановлением Арбитражного суда Волго-Вятского округа от 11.05.2021 постановление суда апелляционной инстанции оставлено без изменения. В кассационной жалобе, поданной в Верховный Суд Российской Федерации, кооператив, ссылаясь на незаконность постановлений апелляционного и окружного судов, просит их отменить и оставить в силе решение суда первой инстанции.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требования предпринимателя (подрядчик) мотивированы ненадлежащим исполнением кооперативом (заказчик) обязательств по оплате выполненных работ по договору от 01.05.2016 (далее – договор).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что предприниматель выполнил работы по ремонту объекта в соответствии с условиями договора, кооператив принял результат работ без возражений, ухудшение технического состояния объекта произошло по причинам, за которые предприниматель не может нести ответственность, учитывая отсутствие доказательств оплаты, руководствуясь статьями 309, 310, 395, 711, 740, 743, 746, 753 Гражданского кодекса Российской Федерации, суд апелляционной инстанции пришел к выводу о наличии оснований для удовлетворения исковых требований. Суд округа поддержал выводы суда апелляционной инстанции. Довод заявителя о том, что апелляционный суд не назначил дополнительную либо повторную экспертизу по своей инициативе, подлежит отклонению, поскольку в силу статей 82 и 87 Арбитражного процессуального кодекса Российской Федерации назначение экспертизы является правом, а не обязанностью суда. Постановление суда апелляционной инстанции принято по имеющимся в деле доказательствам, которые судом оценены и признаны достаточными для правильного разрешения спора. При этом риск наступления последствий совершения или несовершения процессуальных действий несут лица, участвующие в деле (статья 9 Арбитражного процессуального кодекса Российской Федерации). Доводы кассационной жалобы не свидетельствуют о существенном нарушении судами апелляционной инстанции и округа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руководствуясь статьями 291.6, 291.8 Арбитражного процессуального кодекса Российской Федерации,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сельскохозяйственного производственного кооператива – колхоза «Поломский»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