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22.10.2020, оставленным без изменения постановлением Восьмого арбитражного апелляционного суда от 25.01.2021 и постановлением Арбитражного суда Западно-Сибирского округа от 27.05.2021, в удовлетворении иска отказано. В кассационной жалобе, поданной в Верховный Суд Российской Федерации, общество, ссылаясь на неполное исследование судами обстоятельств дела, неправильное применение норм материального права,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Разрешая спор и отказывая в удовлетворении иска, суды руководствовались статьями 8 , 195 , 196 , 199 , 200 , 421 , 431 , 702 , 720 , 722 , 724 , 740 , 743 Гражданского кодекса Российской Федерации, положениями Федерального закона от 25.02.1999 № 39-ФЗ «Об инвестиционной деятельности в Российской Федерации, осуществляемой в форме капитальных вложений», разъяснениями, изложенными в постановлении Пленума Высшего Арбитражного Суда Российской Федерации от 11.07.2011 № 54 «О некоторых вопросах разрешения споров, возникающих из договоров по поводу недвижимости, которая будет создана или приобретена в будущем»,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исходили из пропуска обществом срока исковой давности, о чем было заявлено ответчиком. Выводы судов подробно мотивированы в обжалуемых судебных актах.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«Россети Тюмень»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РОССЕТИ ТЮМЕНЬ (подробнее) представитель Шавырова Н.Т. (подробнее) Ответчики: АО "ЮГОРСКАЯ ЭНЕРГЕТИЧЕСКАЯ КОМПАНИЯ" (подробнее) Судьи дела: Чучунова Н.С. (судья) (подробнее) Последние документы по делу: Определение от 15 ноября 2021 г. по делу № А75-24751/2019 Определение от 6 сентября 2021 г. по делу № А75-24751/2019 Показать все документы по этому делу Судебная практика по: По договору подряда Судебная практика по применению норм ст. 702, 703 ГК РФ Исковая давность, по срокам давности Судебная практика по применению норм ст. 200, 202, 204, 205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