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13.10.2020, оставленным без изменения постановлением Девятого арбитражного апелляционного суда от 01.02.2021 и постановлением Арбитражного суда Московского округа от 17.06.2021, первоначальные требования удовлетворены, в удовлетворении встречных требований отказано. В кассационной жалобе, поданной в Верховный Суд Российской Федерации, объединение,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Как следует из судебных актов, предъявленные взаимные требования общества (исполнитель) и объединения (заказчик) основаны на договоре от 23.03.2018 № РЗ07/02/99Р/0167-18, от исполнения которого заказчик отказался в одностороннем порядке.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выполнило работы к моменту отказа объединения от договора на сумму, превышающую размер перечисленного последним аванса, а допущенная им просрочка выполнения работ возникла ввиду ненадлежащего исполнения объединением обязательств по предоставлению исходных данных, руководствуясь статьями 307 , 309 , 310 , 330 , 395 , 401 , 405 , 702 , 711 , 718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требований и отказа в удовлетворении встречных требований.Суд округа поддержал выводы судов первой и апелляционной инстанций.Доводы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«Машиностроительное производственное объединение имени И. Румянцева»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"Центр теплоэнергосбережений" (подробнее) Ответчики: АО "МАШИНОСТРОИТЕЛЬНОЕ ПРОИЗВОДСТВЕННОЕ ОБЪЕДИНЕНИЕ ИМЕНИ И. РУМЯНЦЕВА" (подробнее) Иные лица: АНО " Судебный эксперт"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