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05.03.2021, с учреждения в пользу общества взыскано 3 594 717 руб. задолженности, 50 985 руб. 07 коп. неустойки, 31 894 руб. 34 коп. расходов по оплате экспертизы, в удовлетворении остальной части исковых требований отказано. Постановлением Арбитражного суда Московского округа от 16.06.2021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акт. Поскольку решение суда первой инстанции и постановление суда апелляционной инстанции отменены постановлением суда округа, жалоба в указанной части беспредметна.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действиям сторон по исполнению обязательств по спорному договору.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«Номер»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