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21.12.2020, оставленным без изменения постановлением Восемнадцатого арбитражного апелляционного суда от 24.03.2021 и постановлением Арбитражного суда Уральского округа от 18.06.2021, иск удовлетворен. В кассационной жалобе, поданной в Верховный Суд Российской Федерации, банк, ссылаясь на нарушение судами норм права, просит отменить указанные судебные акты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в рамках спорного договора услуг и передачи их результата банку, отсутствие доказательств оплаты со стороны последнего, руководствуясь статьями 309, 310, 702, 708, 711, 746, 779, 781, 783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«Российский Сельскохозяйственный банк»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