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16.11.2020, оставленным без изменения постановлением Тринадцатого арбитражного апелляционного суда от 19.02.2021 и постановлением Арбитражного суда Северо-Западного округа от 09.06.2021,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предпринимателя (покупатель) мотивированы тем, что по договору поставки от 29.02.2016 № 16/АМП-31 (в редакции дополнительных соглашений, далее - договор) общество (продавец) поставило товар ненадлежащего качества и не исполнило требование о его замене либо возврате уплаченных за него денежных средств, а также не возместило транспортные расходы.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дополнительного соглашения от 07.08.2019 и спецификации, суды первой и апелляционной инстанций пришли к выводу о том, что обязательство общества по поставке товара считается исполненным, а товар принятым покупателем в момент поставки до вагона покупателя и передачи его перевозчику - транспортной компании. Признав недоказанным факт поставки обществом к вагону товара ненадлежащего качества, руководствуясь статьями 15, 309, 310, 393, 469, 475, 476, 506, 516 Гражданского кодекса Российской Федерации, суды пришли к выводу об отсутствии оснований для удовлетворения исковых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Портнягина Владислава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