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Пензенской области от 05.11.2020, оставленным без изменения постановлением Одиннадцатого арбитражного апелляционного суда от 11.02.2021 и постановлением Арбитражного суда Поволжского округа от 25.06.2021, с общества в пользу компании взыскано 16 842 836 руб. 50 коп. убытков, в удовлетворении остальной частим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Удовлетворяя частично требования о взыскании убытков, возникших у компании вследствие повреждения принадлежащего ей имущества (градирни) в результате пожара, произошедшего по вине общества,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434, 438, 705, 1068, 1064, 1083 Гражданского кодекса Российской Федерации, разъяснениями, изложенными в постановлении Пленума Верховного Суда Российской Федерации от 06.06.2002 № 14 «О судебной практике по делам о нарушении правил пожарной безопасности, уничтожении или повреждении имущества путем поджога либо в результате неосторожного обращения с огнем», принимая во внимание наличие в действиях истца грубой неосторожности, уменьшили размер заявленного им возмещения до 16 842 836 руб. 50 коп. Суд округа поддержал выводы судов первой и апелляционной инстанций. При установленных судами фактических обстоятельствах настоящего дела доводы, изложенные заявителем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