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22.10.2020, оставленным без изменения постановлением Девятого арбитражного апелляционного суда от 22.01.2021 и постановлением Арбитражного суда Московского округа от 06.05.2021,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407, 1102 Гражданского кодекса Российской Федерации, суды первой и апелляционной инстанций пришли к выводу о необоснованности исковых требований, исходя из подтвержденности факта получения обществом встречного предоставления по спорному договору на заявленную сумму и недоказанности им оснований для взыскания задолженности по счетам.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«Премиумстрой»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