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2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причины, которые объективно препятствовали участнику процесса своевременно подать жалобу. Таким образом, восстановлению подлежит срок, пропущенный по уважительным причинам, не зависящим от заявителя, который не имел возможности совершить процессуальное действие в установленный законом срок.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АПК РФ). Последним из обжалуемых заявителем судебных актов, принятым по существу спора, является постановление Арбитражного суда Московского округа, принятое и вступившее в законную силу 12.03.2021. Общество, подав кассационную жалобу 27.08.2021 (согласно штампу на почтовом конверте), в обоснование ходатайства о восстановлении пропущенного срока сослалось на неизвещение о судебном процессе и неполучение копий обжалуемых судебных актов. Между тем, принимая во внимание, что общество являлось инициатором кассационного обжалования, его представитель присутствовал в судебном заседании суда округа, из информации, размещенной в «Картотеке арбитражных дел» в сети «Интернет» следует, что полный текст постановления от 12.03.2021 опубликован в общедоступной базе судебных актов 13.03.2021, заявитель имел реальную возможность в установленный законом срок подготовить и направить жалобу в адрес Верховного Суда Российской Федерации. Поскольку приведенные обществом доводы не подтверждают наличие объективных причин, препятствовавших подаче кассационной жалобы в установленный законом срок, они не являются основанием для восстановления пропущенного срока.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Учитывая изложенное, ходатайство о восстановлении пропущенного процессуального срока подлежит оставлению без удовлетворения, а кассационная жалоба - возврату заявителю. 3 Поскольку к кассационной жалобе приложена копия чека-ордера от 15.06.2021, вопрос о возврате государственной пошлины из федерального бюджета не может быть разрешен. Руководствуясь статьями 117, 184,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«Вектор» о восстановлении пропущенного срока подачи кассационной жалобы отказать. Кассационную жалобу общества с ограниченной ответственностью «Вектор» на решение Арбитражного суда города Москвы от 08.07.2020, постановление Девятого арбитражного апелляционного суда от 01.12.2020 и постановление Арбитражного суда Московского округа от 12.03.2021 по делу № А40-279596/2019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