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23.11.2020, оставленным без изменения постановлением Девятого арбитражного апелляционного суда от 01.03.2021, исковые требования удовлетворены. Арбитражный суд Московского округа постановлением от 11.06.2021 решение от 23.11.2020 и постановление Девятого арбитражного апелляционного суда от 01.03.2021 оставил без изменения. В кассационной жалобе общество «Трансгеоком» просит об отмене судебных актов, ссылаясь на недоказанность истцом отсутствия оснований получения денежных средств, несоблюдение претензионного порядка урегулирования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65 Арбитражного процессуального кодекса Российской Федерации на ответчике лежит обязанность доказывания возражений против иска, не исполненная им, что привело к удовлетворению требования истца. Вопросы досудебного порядка урегулирования спора не обладают признаками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«Трансгеоком»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