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кассационная жалоба подана в Верховный Суд Российской Федерации с ходатайством о восстановлении срока на обжалование. Суд счел ходатайство подлежащим удовлетворению. Руководствуясь статьями 117, 184, 291.2 Арбитражного процессуального кодекса Российской Федерации, судья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восстановить акционерному обществу «Региональные электрические сети» срок подачи кассационной жалобы на постановление Седьмого арбитражного апелляционного суда от 12.02.2021 и постановление Арбитражного суда Западно-Сибирского округа от 09.06.2021 по делу № А45-28627/2019 Арбитражного суда Новосибирской области.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