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04.09.2020, оставленным без изменения постановлением Двадцать первого арбитражного апелляционного суда от 24.11.2020 и постановлением Арбитражного суда Центрального округа от 29.04.2021, первоначальный иск удовлетворен, в удовлетворении встречного иска отказано. В кассационной жалобе предприниматель просит отменить судебные акты, ссылаясь на процессуальные нарушения, неприменение к правоотношениям норм права о договоре морской перевозки, недоказанность требований порта и неосновательное отклонение его доводов.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применили к правоотношениям сторон нормы об оказании услуг (статьи 779, 781 Гражданского кодекса Российской Федерации) исходя их содержания договора от 30.06.2017 № 171-Д-ЯТП-17. Требования порта удовлетворены в соответствии с согласованными условиями договора и доказательствами его исполнения (двусторонними актами оказанных услуг). Представленные предпринимателем доказательства нарушения портом договора(акты срыва оказания услуг) не признаны надлежащими как носящие односторонний характер и имеющие выявленные проведенной экспертизой пороки. Процессуальные нарушения, влияющие на судьбу судебных актов в кассационном производстве, не подтверждены.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Добрыдневу Михаилу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