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17.12.2020 заявление удовлетворено в части исключения из конкурсной массы должника денежных средств в размере прожиточного минимума для трудоспособного населения в Свердловской области, установленного постановлением Правительства Свердловской области, начиная с 13.11.2020. Семнадцатый арбитражный апелляционный суд постановлением от 03.03.2021 и Арбитражный суд Уральского округа постановлением от 31.05.2021 определение от 17.12.2020 оставили без изменения. В кассационной жалобе Перов А.С. просит об отмене судебных актов в части исключения из конкурсной массы должника денежных средств в размере прожиточного минимума, ссылаясь на непоступление денежных средств в конкурсную массу из-за сокрытия должником источников дохода и неосуществления трудовой деятельности.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Ошибочное толкование статьи 446 Гражданского процессуального кодекса Российской Федерации применительно к процедуре банкротства не может повлечь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Перову А.С.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