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«Руссо Косметик» (далее – должник) общество с ограниченной ответственностью «Ви Эл Би продукт» (далее – компания) обратилось в Арбитражный суд города Москвы с заявлением о включении в реестр требований кредиторов должника (далее – реестр) требования в размере 13 188 973 руб. Определением суда первой инстанции от 04.12.2020, оставленным без изменения постановлениями судов апелляционной инстанции от 24.03.2021 и округа от 11.06.2021, требования компании в размере 13 188 973 руб. признаны обоснованными и включены третью очередь реестра. В кассационных жалобах, поданных в Верховный Суд Российской Федерации, Курицын Д.А. и Орлов А.И. просят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кассационных жалоб на рассмотрение Судебной коллегии Верховного Суда Российской Федерации. 2 Судами установлено, что компания погасила задолженность должника по обязательным платежам перед Федеральной налоговой службой. Разрешая спор, суды первой и апелляционной инстанций, с выводами которых согласился суд округа, руководствовались статьями 100, 142 Федерального закона от 26.10.2002 № 127-ФЗ «О несостоятельности (банкротстве)» и исходили из перечисления компанией денежных средств за должника в пользу уполномоченного органа. При этом наличие аффилированности должника и компании, а также злоупотребление правом не установлено.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Д.В.Капкаев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