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18.12.2020, оставленным без изменения постановлением Первого арбитражного апелляционного суда от 22.03.2021, исковые требования удовлетворены. Арбитражный суд Волго-Вятского округа постановлением от 10.06.2021 решение от 18.12.2020 и постановление Первого арбитражного апелляционного суда от 22.03.2021 оставил без изменения. 2 В кассационной жалобе общество «ДальСтройНефтеГаз» просит об отмене судебных актов, ссылаясь на то, что является ненадлежащим ответчиком и судебные акты основаны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исполнение договора от 29.07.2019 № 118 подтверждено двусторонними документами, о недостоверности которых общество «ДальСтройНефтеГаз» не заявляло, поэтому удовлетворили иск в соответствии со статьями 781, 785, 790 Гражданского кодекса Российской Федерации. Вопросы доказывания и оспаривание оценки доказательств, заложенные в доводах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«ДальСтройНефтеГаз»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