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Свердловской области определением от 28.03.2021, оставленным без изменения постановлением Семнадцатого арбитражного апелляционного суда от 19.05.2021, признал недействительным решение собрания кредиторов должника от 11.01.2021 № 1, оформленное протоколом № 1, недействительным по 2 ,3, 4, 5, 6 вопросам повестки. В кассационной жалобе банк просит об отмене судебных актов, ссылаясь на неосновательное принятие судебных актов, не обжалуемых по нормам Арбитражного процессуального кодекса Российской Федерации, и наличие у собрания компетенции на принятие оспариваемого решения.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Предмет рассматриваемого заявления заключается в проверке решения собрания кредиторов и не требует иного толкования для цели обжалования судебных актов. Суды правомерно руководствовались пунктом 3 статьи 213.25 Федерального закона от 26.10.2002 № 127-ФЗ «О несостоятельности (банкротстве)» и статьей 446 Гражданского процессуального кодекса Российской Федерации, признавая отсутствие у собрания кредиторов, а по существу у банка как кредитора с 99, 270 % голосов компетенции на переселение должника и членов его семьи из единственного пригодного для проживания жилого помещения.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«СКБ-банк»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