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30.12.2020, оставленным без изменения постановлением Девятого арбитражного апелляционного суда от 17.03.2021 и постановлением Арбитражного суда Московского округа от 28.05.2021, отказано в удовлетворении заявления финансового управляющего о разрешении разногласий и признании требования УФНС по Белгородской области о включении требований в реестр текущих платежей, выраженное в письме от 11.12.2017 № 14-07/18298, необоснованным. В кассационной жалобе Кильмякова Р.Р. просит об отмене судебных актов, ссылаясь на лишение права на защиту и нарушение прав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силу статьи 213.9 Федерального закона от 26.10.2002 № 127-ФЗ «О несостоятельности (банкротстве)» проведение анализа финансового состояния должника и ведение реестра требований кредиторов отнесено к обязанностям финансового управляющего. Довод управляющего, не опровергнувшего задекларированный должником доход, о недостоверности указанных в налоговой декларации сведений и необоснованности требования налоговой инспекции носят гипотетический характер и правомерно отклонен. Заявление управляющего рассмотрено по существу, поэтому довод о лишении его контроля за действиями должника, влияющими на состояние конкурсной массы, является неосновательным.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Кильмяковой Роксане Ришатовне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