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«СРВ-Транс» обратилось в Арбитражный суд Московской области с иском, уточненным в порядкестатьи 49 Арбитражного процессуального кодекса Российской Федерации, к акционерному обществу «ОборонАвиаХран» об истребовании из незаконного владения вагонов-платформ, взыскании 200 000 рублей убытков, 560 000 рублей убытков в виде упущенной выгоды, 80 000 рублей расходов на оплату услуг представителя. Судом принят встречный иск, уточненный в порядке статьи 49 Арбитражного процессуального кодекса Российской Федерации, акционерного общества «ОборонАвиаХран» к обществу с ограниченной ответственностью «СРВ-Транс» о взыскании 1 461 750 рублей задолженности за простой железнодорожных платформ на станции приписки по договору оказания услуг по подаче и уборке вагонов от 01.09.2011 № Ж-1 за период с 14.06.2019 по 16.11.2020, 25 627 рублей 88 копеек процентов за пользование чужими денежными средствами, с последующим их начислением до момента фактического исполнения, а также обращении взыскания на удерживаемые железнодорожные платформы.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«Российский железные дороги» и индивидуальный предприниматель ФИО2. Решением Арбитражного суда Московской области от 07.12.2020 первоначальный иск удовлетворен в части истребования у ответчика имущества и взыскания расходов на оплату услуг представителя в размере 30 000 рублей; в удовлетворении первоначального иска в остальной части отказано; встречный иск удовлетворен в части взыскания 1 461 750 рублей задолженности за простой железнодорожных платформ и 25 627 рублей88 копеек процентов за пользование чужими денежными средствами, с последующим их начислением до момента фактической оплаты задолженности; в удовлетворении встречного иска в остальной части отказано. Постановлением Десятого арбитражного апелляционного суда от 24.03.2021 решение суда первой инстанции оставлено без изменения. Арбитражный суд Московского округа постановлением от 18.06.2021 указанные судебные акты оставил без изменения. Общество с ограниченной ответственностью «СРВ-Транс»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 и удовлетворения встречного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67 , 68 , 71 Арбитражного процессуального кодекса Российской Федерации, руководствуясь положениями статей 15 , 393 , 349 Гражданского кодекса Российской Федерации, суды, удовлетворяя первоначальный иск в части истребования имущества из чужого незаконного владения, исходили из отсутствия оснований для его дальнейшего удержания, и, отказывая в удовлетворении первоначального иска в остальной части, исходили из недоказанности истцом совокупности обстоятельств, необходимых для привлечения ответчика к гражданско-правовой ответственности в виде возмещения убытков. Удовлетворяя встречное требование в части взыскания задолженности за простой железнодорожных платформ, суды исходили из того, что ООО «СРВ-Транс» (собственник вагонов-платформ) знало о факте нахождения железнодорожных платформ на путях необщего пользованияАО «ОборонАвиаХран», своевременных заявок на перевозку не подавало, задолженность за простой не уплатило. Доводы, изложенные в кассационной жалобе, приводились при рассмотрении дела, были рассмотрены судами и мотивированно отклонены.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«СРВ-Транс»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"СРВ-Транс" (подробнее) Ответчики: АО "ОБОРОНАВИАХРАН" (подробнее) Иные лица: ОАО "Российские железные дороги"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