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Судебную коллегию по экономическим спорам Верховного Суда Российской Федерации с указанной кассационной жалобой, одновременно заявив ходатайство о восстановлении пропущенного срока ее подачи.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2 Частью 2 статьи 291.2 Арбитражного процессуального кодекса Российской Федерации установлено,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изучив приведенные заявителем причины пропуска процессуального срока, учитывая, что ходатайство заявлено в пределах шести месяцев со дня вступления в законную силу последнего обжалуемого судебного акта, судья усматривает основания для удовлетворения ходатайства. Принимая во внимание изложенное и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Халилову Вадиму Рафиковичу срок подачи кассационной жалобы на решение Арбитражного суда Новосибирской области от 26.10.2020, постановление Седьмого арбитражного апелляционного суда от 15.02.2021 и постановление Арбитражного суда Западно-Сибирского округа от 20.05.2021 по делу № А45-15931/2020. Судья Верховного Суда Российской Федерации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