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в реестр требований кредиторов должника (далее – реестр) требования в размере 1 001 650 рублей. Определением Арбитражного суда Республики Татарстан от 10.12.2020 требование признано обоснованным и подлежащим удовлетворению за счёт имущества должника, оставшегося после удовлетворения требований реестровых кредиторов. Постановлением Одиннадцатого арбитражного апелляционного суда от 02.02.2021 данное определение отменено, требование общества включено в реестр. Постановлением Арбитражного суда Поволжского округа от 03.06.2021 отменено постановление апелляционного суда от 02.02.2021, определение суда первой инстанции от 10.12.2020 оставлено в силе. В кассационной жалобе, поданной в Верховный Суд Российской Федерации, заявитель просит отменить постановление суда округа и определение суда первой инстанции, оставить в силе постановление апелляционного суда. По смыслу части 1 статьи 291.1, части 7 статьи 291.6, статьи 291.11 Арбитражного процессуального кодекса Российской Федерации кассационная 2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Понижая очерёдность удовлетворения требования общества, суд первой инстанции и округа руководствовались статьями 71, 100, 142 Федерального закона от 26.10.2002 № 127-ФЗ «О несостоятельности (банкротстве)», пунктами 3.1, 3.4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утверждённого Президиумом Верховного Суда Российской Федерации 29.01.2020, и исходили из того, что признание недействительной совершённой заинтересованными лицами подозрительной сделки и применение последствий её недействительности не изменило его правовую природу, связанную с предоставлением компенсационного финансирования. Выводы судов первой инстанции и округа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кассационной жалобы не установлено.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«Лотос» Ершову Олегу Николаевичу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