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и применении последствий недействительности совершенных между должником и Арефьевым С.И., а именно: № 122-л/с от 25.04.2017, № 171-л/с от 02.06.2017, № 274-л/с от 30.08.2017, № 347-л/с от 19.10.2017, № 02-л/с от 09.01.2018; применении последствий недействительности сделок. Определением Арбитражного суда города Москвы от 07.07.2020, оставленным без изменения постановлениями Девятого арбитражного апелляционного суда от 16.12.2020 и Арбитражного суда Московского округа от 04.05.2021, заявление удовлетворено частично, применены последствия недействительности вышеуказанных сделок в виде взыскания с Арефьева С.И. в пользу должника денежных средств в размере 1 364 473 рубля 20 копеек.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конкурсного управляющего.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Федерального закона от 26.10.2002 № 127-ФЗ «О несостоятельности (банкротстве)», установив обстоятельства выплат заявителю в пределах годичного срока до назначения в банке временной администрации дополнительного вознаграждения в условиях неустойчивого финансового положения банка при недоказанности выполнения им работ, превышающих стандартные повседневные должностные обязанности, признали недействительными оспариваемые сделки (за вычетом сумм НДФЛ), в связи с неравноценностью встречного предоставления,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Арефьеву Сергею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