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«Спецтех 46» обратилось в Арбитражный суд Курской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«Империя-Групп» 786 400 рублей задолженности по договору на оказание услуг от 14.04.2017 № 14/04 и 41 668 рублей 43 копеек процентов за пользование чужими денежными средствами за период с 02.10.2018 по 10.06.2019.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«ЯВА-Строй». Решением Арбитражного суда Курской области от 18.06.2019 иск удовлетворен. Постановлением Девятнадцатого арбитражного апелляционного суда от 22.08.2019 решение суда первой инстанции оставлено без изменения. Арбитражный суд Центрального округа постановлением от 28.10.2019 указанные судебные акты отменил и направил дело на новое рассмотрение в суд первой инстанции. Общество с ограниченной ответственностью «Спецтех 46»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«Спецтех 46»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ООО "Империя-Групп" (подробнее) ООО "Спецтех 46" (подробнее) Иные лица: АО "Концерн Росэергоатом" в лице филиала "Курская атомная станция" (подробнее) Отдел адресно-справочной работы Управления по вопросам миграции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