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с Вартанова Александра Зараировича, Гладун Юрия Владимировича, Симарева Дмитрия Валерьевича, Ковпака Игоря Викторовича, Прокина Владимира Васильевича, Корзюкова Виктора Николаевича, Илюхина Владимира Сергеевича, Голубева Вячеслава Сергеевича, Шеремета Николая Николаевича, Немировского Игоря Петровича, Щелкунова Романа Владимировича солидарно в пользу должника убытков в размере 2 145 000 долларов США. Определением Арбитражного суда города Москвы от 03.11.2020, оставленным без изменения постановлениями Девятого арбитражного апелляционного суда от 01.02.2021 и Арбитражного суда Московского округа от 05.05.2021,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15, 53, 53.1, Гражданского кодекса Российской Федерации, статьёй 61.20 Федерального закона от 26.10.2002 № 127-ФЗ «О несостоятельности (банкротстве)», не установили совокупности условий для взыскания с ответчиков убытков, противоправности в их действиях и фактов заключения (подписания) ими сделок по выдаче заведомо невозвратных займов.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«Управляющая компания «Межрегиональный союз строителей» Чернышеву Михаилу Юрьевичу и обществу с ограниченной ответственностью «Транском»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