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Ветчинкин Алексей Геннадьевич обратился в суд с заявлением о признании недействительной сделкой договора № 30А/2 от 14.11.2018 купли-продажи автомобиля марки УРАЛ 44202-0311-41, 2008 года выпуска, грузовой тягач седельный, цвет голубой, VIN Х1Р44202081342169, шасси (рама) Х1Р44202081342169, кузов (кабина): 43200080005351 (далее – транспортное средство); применении последствий недействительности сделки. Определением Арбитражного суда города Москвы от 05.10.2020, оставленным без изменения постановлениями Девятого арбитражного апелляционного суда от 27.01.2021 и Арбитражного суда Московского округа от 29.04.2021, заявление удовлетворено. В кассационной жалобе, поданной в Верховный Суд Российской Федерации, заявитель просит отменить названные судебные акты, принять по делу новый судебный акт либо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пунктом 1 статьи 61.2 Федерального закона от 26.10.2002 № 127-ФЗ «О несостоятельности (банкротстве)» и признали недействительной оспариваемую сделку, заключенную в период подозрительности при неравноценном встречном исполнении обязательств со стороны покупателя транспортного средства. Выводы судов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Земсковой Светлане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