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 на действия (бездействие) конкурсного управляющего должником Латыпова Равила Умяровича. Определением Арбитражного суда города Москвы от 22.12.2020, оставленным без изменения постановлениями Девятого арбитражного апелляционного суда от 26.02.2021 и Арбитражного суда Московского округа от 12.05.2021,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Федерального закона от 26.10.2002 № 127-ФЗ «О несостоятельности (банкротстве)», не установили фактов недобросовестного поведения конкурсного управляющего в мероприятиях по взысканию дебиторской задолженности с юридических лиц, большая часть из которых прекратили хозяйственную деятельность и являлись недействующими, в том числе, поскольку собранием кредиторов должника принято решение о списании дебиторской задолженности.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Рыбцеву Виктору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