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кассационной жалобой на судебные акты, принятые в порядке упрощенного производства и оставленные без изменения окружным судом.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В указанной ситуации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На основании изложенного, руководствуясь статьями 150, 184,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«Трейдхолдинг» на решение Арбитражного суда Новосибирской области от 22.03.2021 по делу № А45-27252/2020, постановление Седьмого арбитражного апелляционного суда от 23.03.2021 и постановление Арбитражного суда Западно-Сибирского округа от 16.06.2021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