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«Петрохим» обратилось в Арбитражный суд Белгородской области с иском к обществу с ограниченной ответственностью «Движение» о признании ничтожным одностороннего увеличения стоимости услуг по подаче-уборке и маневровым работам одного вагона по договору об оказании услуг от 01.07.2006 № 01/07/2006. К участию в деле в качестве третьего лица, не заявляющего самостоятельных требований относительно предмета спора, привлечена Комиссия по государственному регулированию цен и тарифов в Белгородской области. Решением Арбитражного суда Белгородской области от 09.09.2020 в удовлетворении иска отказано. Постановлением Девятнадцатого арбитражного апелляционного суда от 07.12.2020 решение суда первой инстанции оставлено без изменения. 2 Арбитражный суд Центрального округа постановлением от 30.04.2021 указанные судебные акты оставил без изменения. Акционерное общество «Петрохим»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подача-уборка вагонов, поступающих в адрес истца, и выполнение маневровых работ производятся на основании заключенного между сторонами договора, ответчику (исполнителю) предоставлено право на одностороннее изменение стоимости услуг по договору, стоимость услуг установлена исходя из расчета тарифов в соответствии с Методическими рекомендациями по формированию тарифов и сборов на работы и услуги, выполняемые предприятиями промышленного железнодорожного транспорта, руководствуясь статьями 10, 153, 166, 181, 199, 200 Гражданского кодекса Российской Федерации, положениями статей 60, 64 Федерального закона от 10.01.2003 № 18-ФЗ «Устав железнодорожного транспорта Российской Федерации», суды пришли к выводам об отсутствии в действиях ответчика злоупотребления правом и пропуске истцом срока исковой давности. Доводы, изложенные в кассационной жалобе, являлись предметом рассмотрения судов и мотивированно отклонены. Эти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права, поскольку суды, проанализировав и оценив представленные доказательства, не усмотрели оснований для назначения экспертизы.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«Петрохим»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