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05.11.2020, оставленным без изменения постановлением Девятого арбитражного апелляционного суда от 04.02.2021, процедура реализации имущества должника завершена, должник освобожден от дальнейшего исполнения требований кредиторов, в том числе не заявленных при введении процедуры реализации имущества. Арбитражный суд Московского округа постановлением от 27.04.2021 определение от 05.11.2020 и постановление Девятого арбитражного апелляционного суда от 04.02.2021 оставил без изменения. В кассационной жалобе компания просит об отмене судебных актов, ссылаясь на ошибочность выводов о добросовестности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оценили поведение должника в процедурах банкротства и установили условия для применения правил статьи 213.28 Федерального закона от 26.10.2002 № 127-ФЗ «О несостоятельности (банкротстве)» для освобождения должника от дальнейшего исполнения обязательств. Иная оценка компанией поведения должника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