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27.10.2020, оставленным без изменения постановлением Седьмого арбитражного апелляционного суда от 18.01.2021, в удовлетворении иска отказано. Арбитражный суд Западно-Сибирского округа постановлением от 27.04.2021 решение от 27.10.2020 и постановление Седьмого арбитражного апелляционного суда от 18.01.2021 оставил без изменения. В кассационной жалобе общество «Рейлшип Сервис» просит об отмене судебных актов вследствие неправильной квалификации спорных правоотношений и неприменения к ним норм международного права.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сверхнормативное использование контейнера произошло не вследствие неправильного поручения ответчика либо его клиента, за что в силу договора транспортной экспедиции от 25.01.2016 № 118/16/РШ отвечает ответчик, а в связи с пожаром в терминале, поэтому правомерно отказали в возмещении истцу уплаченного контрагенту штрафа. Квалификация правоотношений как возникающих из выполнения поручения и основанных на нормах международного права противоречит обстоятельствам использования контейнера.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«Рейлшип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