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Шкурин Дмитрий Александрович обратился в суд с заявлением о признании недействительными платежей, совершённых с расчётного счёта должника за общество с ограниченной ответственностью «Дентал – С» (далее – общество) в период с 03.04.2017 по 06.09.2017 на сумму 1 232 093 рублей 19 копеек; применении последствий недействительности сделки. Определением Арбитражного суда Волгоградской области от 02.12.2020, оставленным без изменения постановлениями Двенадцатого арбитражного апелляционного суда от 18.03.2021 и Арбитражного суда Поволжского округа от 17.06.2021,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пунктами 6, 7 постановления Пленума Высшего Арбитражного Суда Российской Федерации от 23.12.2010 № 63 «О некоторых вопросах, связанных с применением главы Ш.1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платежей, совершенных в период подозрительности имеющим неисполненные обязательства перед бюджетом должником за аффилированное общество и повлекших за собой причинение вреда имущественным правам кредиторов.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Засядкину Роману Петровичу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Засядкина Романа Петровича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