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06.11.2020, оставленным без изменения постановлением Девятого арбитражного апелляционного суда от 16.03.2021, иск удовлетворен. Арбитражный суд Московского округа постановлением от 02.06.2021 решение от 06.11.2020 и постановление Девятого арбитражного апелляционного суда от 16.03.2021 оставил без изменения. В кассационной жалобе компания просит об отмене судебных актов в части взыскания штрафа, ссылаясь на нарушение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договорный характер ответственности и нарушение ответчиком обязательства, за которое она применяется, поэтому удовлетворили иск в соответствии с договором от 13.06.2019 № 13062019-ТТ/ТЭО и статьями 330, 779 Гражданского кодекса Российской Федерации. Доводы, связанные с доказыванием и оценкой доказательств,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«Объединенная транспортная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