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27.08.2020, оставленным без изменения постановлением Десятого арбитражного апелляционного суда от 09.12.2020 и постановлением Арбитражного суда Московского округа от 27.04.2021, в удовлетворении жалобы отказано. В кассационной жалобе Патрусова Н.И. просит о пересмотре судебных актов, ссылаясь на противоречие судебных актов представленным доказательствам наличия долга, подтвержденного вступившим в законную силу судебным актом.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руководствовались невзысканием судом общей юрисдикции с должника в пользу Патрусовой Н.И. не включенной финансовым управляющим в реестр суммы, учитывая совершение сделки дарения во вред кредиторам, поэтому в соответствии со статьями 20.3, 60, Федерального закона от 26.10.2002 № 127-ФЗ «О несостоятельности (банкротстве)» признали действия управляющего правомерными. Довод заявителя о подтвержденности задолженности доказательствами и судом опровергается установленными судами обстоятельствами.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Патрусовой Наталье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